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25" w:rsidRDefault="00AD2A25"/>
    <w:p w:rsidR="00431154" w:rsidRPr="00431154" w:rsidRDefault="00431154" w:rsidP="00431154">
      <w:pPr>
        <w:rPr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  <w:lang w:val="ru-RU"/>
        </w:rPr>
        <w:t xml:space="preserve">Связь </w:t>
      </w:r>
      <w:r w:rsidRPr="00431154">
        <w:rPr>
          <w:b/>
          <w:sz w:val="24"/>
          <w:szCs w:val="24"/>
          <w:lang w:val="ru-RU"/>
        </w:rPr>
        <w:t>цунами</w:t>
      </w:r>
      <w:r>
        <w:rPr>
          <w:b/>
          <w:sz w:val="24"/>
          <w:szCs w:val="24"/>
          <w:lang w:val="ru-RU"/>
        </w:rPr>
        <w:t>генности подводных землетрясений с условиями осадконакопления на морском дне</w:t>
      </w:r>
      <w:r w:rsidRPr="00431154">
        <w:rPr>
          <w:b/>
          <w:sz w:val="24"/>
          <w:szCs w:val="24"/>
          <w:lang w:val="ru-RU"/>
        </w:rPr>
        <w:t>, В.К.Гусяков, зав. лаб., д.ф.-м.н.</w:t>
      </w:r>
    </w:p>
    <w:p w:rsidR="00431154" w:rsidRDefault="00431154" w:rsidP="00431154">
      <w:pPr>
        <w:tabs>
          <w:tab w:val="left" w:pos="720"/>
          <w:tab w:val="left" w:pos="851"/>
          <w:tab w:val="left" w:pos="4395"/>
        </w:tabs>
        <w:spacing w:after="120"/>
        <w:jc w:val="both"/>
        <w:rPr>
          <w:sz w:val="24"/>
          <w:szCs w:val="24"/>
          <w:lang w:val="ru-RU"/>
        </w:rPr>
      </w:pPr>
    </w:p>
    <w:p w:rsidR="00431154" w:rsidRDefault="00431154" w:rsidP="00310F8F">
      <w:pPr>
        <w:tabs>
          <w:tab w:val="left" w:pos="720"/>
          <w:tab w:val="left" w:pos="851"/>
          <w:tab w:val="left" w:pos="4395"/>
        </w:tabs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материале высокоточных инструментальных наблюдений над цунамигенными землетрясениями, происшедшими  в Тихом океане в 1992-2016 гг. изучена связь между цунамигенностью очагов и географическим распределением основных осадочных зон Тихого океана. По величине параметра</w:t>
      </w:r>
      <w:r w:rsidRPr="00431154">
        <w:rPr>
          <w:sz w:val="24"/>
          <w:szCs w:val="24"/>
          <w:lang w:val="ru-RU"/>
        </w:rPr>
        <w:t xml:space="preserve"> </w:t>
      </w:r>
      <w:r w:rsidRPr="00431154">
        <w:rPr>
          <w:b/>
          <w:sz w:val="24"/>
          <w:szCs w:val="24"/>
          <w:lang w:val="ru-RU"/>
        </w:rPr>
        <w:sym w:font="Symbol" w:char="F044"/>
      </w:r>
      <w:r w:rsidRPr="00431154">
        <w:rPr>
          <w:b/>
          <w:sz w:val="24"/>
          <w:szCs w:val="24"/>
          <w:lang w:val="ru-RU"/>
        </w:rPr>
        <w:t>I,</w:t>
      </w:r>
      <w:r w:rsidRPr="00431154">
        <w:rPr>
          <w:sz w:val="24"/>
          <w:szCs w:val="24"/>
          <w:lang w:val="ru-RU"/>
        </w:rPr>
        <w:t xml:space="preserve"> представляющего собой разность между фактической и ожидаемой (</w:t>
      </w:r>
      <w:r>
        <w:rPr>
          <w:sz w:val="24"/>
          <w:szCs w:val="24"/>
          <w:lang w:val="ru-RU"/>
        </w:rPr>
        <w:t>на основе</w:t>
      </w:r>
      <w:r w:rsidRPr="0043115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измеренной</w:t>
      </w:r>
      <w:r w:rsidRPr="00431154">
        <w:rPr>
          <w:sz w:val="24"/>
          <w:szCs w:val="24"/>
          <w:lang w:val="ru-RU"/>
        </w:rPr>
        <w:t xml:space="preserve"> момент-магнитуды землетрясения </w:t>
      </w:r>
      <w:r w:rsidRPr="00431154">
        <w:rPr>
          <w:b/>
          <w:sz w:val="24"/>
          <w:szCs w:val="24"/>
          <w:lang w:val="ru-RU"/>
        </w:rPr>
        <w:t>M</w:t>
      </w:r>
      <w:r w:rsidRPr="00431154">
        <w:rPr>
          <w:b/>
          <w:sz w:val="24"/>
          <w:szCs w:val="24"/>
          <w:vertAlign w:val="subscript"/>
          <w:lang w:val="ru-RU"/>
        </w:rPr>
        <w:t>w</w:t>
      </w:r>
      <w:r w:rsidRPr="00431154">
        <w:rPr>
          <w:b/>
          <w:sz w:val="24"/>
          <w:szCs w:val="24"/>
          <w:lang w:val="ru-RU"/>
        </w:rPr>
        <w:t>)</w:t>
      </w:r>
      <w:r w:rsidRPr="00431154">
        <w:rPr>
          <w:sz w:val="24"/>
          <w:szCs w:val="24"/>
          <w:lang w:val="ru-RU"/>
        </w:rPr>
        <w:t xml:space="preserve"> интенсивностью цунами</w:t>
      </w:r>
      <w:r>
        <w:rPr>
          <w:sz w:val="24"/>
          <w:szCs w:val="24"/>
          <w:lang w:val="ru-RU"/>
        </w:rPr>
        <w:t>, измеряемой по шкале Соловьева-Имамуры, п</w:t>
      </w:r>
      <w:r w:rsidRPr="00431154">
        <w:rPr>
          <w:sz w:val="24"/>
          <w:szCs w:val="24"/>
          <w:lang w:val="ru-RU"/>
        </w:rPr>
        <w:t>роизв</w:t>
      </w:r>
      <w:r>
        <w:rPr>
          <w:sz w:val="24"/>
          <w:szCs w:val="24"/>
          <w:lang w:val="ru-RU"/>
        </w:rPr>
        <w:t>едено</w:t>
      </w:r>
      <w:r w:rsidRPr="00431154">
        <w:rPr>
          <w:sz w:val="24"/>
          <w:szCs w:val="24"/>
          <w:lang w:val="ru-RU"/>
        </w:rPr>
        <w:t xml:space="preserve"> разделение этих землетрясений на три группы, условно названные "красными" (</w:t>
      </w:r>
      <w:r w:rsidRPr="00431154">
        <w:rPr>
          <w:b/>
          <w:sz w:val="24"/>
          <w:szCs w:val="24"/>
          <w:lang w:val="ru-RU"/>
        </w:rPr>
        <w:sym w:font="Symbol" w:char="F044"/>
      </w:r>
      <w:r w:rsidRPr="00431154">
        <w:rPr>
          <w:b/>
          <w:sz w:val="24"/>
          <w:szCs w:val="24"/>
          <w:lang w:val="ru-RU"/>
        </w:rPr>
        <w:t>I</w:t>
      </w:r>
      <w:r w:rsidRPr="00431154">
        <w:rPr>
          <w:sz w:val="24"/>
          <w:szCs w:val="24"/>
          <w:lang w:val="ru-RU"/>
        </w:rPr>
        <w:t>&gt;1), "зелеными" (–1</w:t>
      </w:r>
      <w:r w:rsidRPr="00431154">
        <w:rPr>
          <w:sz w:val="24"/>
          <w:szCs w:val="24"/>
          <w:lang w:val="ru-RU"/>
        </w:rPr>
        <w:sym w:font="Symbol" w:char="F0A3"/>
      </w:r>
      <w:r w:rsidRPr="00431154">
        <w:rPr>
          <w:b/>
          <w:sz w:val="24"/>
          <w:szCs w:val="24"/>
          <w:lang w:val="ru-RU"/>
        </w:rPr>
        <w:sym w:font="Symbol" w:char="F044"/>
      </w:r>
      <w:r w:rsidRPr="00431154">
        <w:rPr>
          <w:b/>
          <w:sz w:val="24"/>
          <w:szCs w:val="24"/>
          <w:lang w:val="ru-RU"/>
        </w:rPr>
        <w:t>I</w:t>
      </w:r>
      <w:r w:rsidRPr="00431154">
        <w:rPr>
          <w:sz w:val="24"/>
          <w:szCs w:val="24"/>
          <w:lang w:val="ru-RU"/>
        </w:rPr>
        <w:sym w:font="Symbol" w:char="F0A3"/>
      </w:r>
      <w:r w:rsidRPr="00431154">
        <w:rPr>
          <w:sz w:val="24"/>
          <w:szCs w:val="24"/>
          <w:lang w:val="ru-RU"/>
        </w:rPr>
        <w:t>1) и “синими” (</w:t>
      </w:r>
      <w:r w:rsidRPr="00431154">
        <w:rPr>
          <w:b/>
          <w:sz w:val="24"/>
          <w:szCs w:val="24"/>
          <w:lang w:val="ru-RU"/>
        </w:rPr>
        <w:sym w:font="Symbol" w:char="F044"/>
      </w:r>
      <w:r w:rsidRPr="00431154">
        <w:rPr>
          <w:b/>
          <w:sz w:val="24"/>
          <w:szCs w:val="24"/>
          <w:lang w:val="ru-RU"/>
        </w:rPr>
        <w:t>I</w:t>
      </w:r>
      <w:r w:rsidRPr="00431154">
        <w:rPr>
          <w:sz w:val="24"/>
          <w:szCs w:val="24"/>
          <w:lang w:val="ru-RU"/>
        </w:rPr>
        <w:t>&lt;-1) событиями. При анализе географического распределения событий в этих группах выявл</w:t>
      </w:r>
      <w:r w:rsidR="00310F8F">
        <w:rPr>
          <w:sz w:val="24"/>
          <w:szCs w:val="24"/>
          <w:lang w:val="ru-RU"/>
        </w:rPr>
        <w:t>ена</w:t>
      </w:r>
      <w:r w:rsidRPr="00431154">
        <w:rPr>
          <w:sz w:val="24"/>
          <w:szCs w:val="24"/>
          <w:lang w:val="ru-RU"/>
        </w:rPr>
        <w:t xml:space="preserve"> их </w:t>
      </w:r>
      <w:r w:rsidR="00310F8F">
        <w:rPr>
          <w:sz w:val="24"/>
          <w:szCs w:val="24"/>
          <w:lang w:val="ru-RU"/>
        </w:rPr>
        <w:t>тесная</w:t>
      </w:r>
      <w:r w:rsidRPr="00431154">
        <w:rPr>
          <w:sz w:val="24"/>
          <w:szCs w:val="24"/>
          <w:lang w:val="ru-RU"/>
        </w:rPr>
        <w:t xml:space="preserve"> корреляция с положением основных зон осадконакопления в океане, обусловленных наличием климатической и циркумконтинентальной зональности. </w:t>
      </w:r>
      <w:r w:rsidRPr="00646F37">
        <w:rPr>
          <w:sz w:val="24"/>
          <w:szCs w:val="24"/>
          <w:lang w:val="ru-RU"/>
        </w:rPr>
        <w:t>Проведенное исследование позвол</w:t>
      </w:r>
      <w:r w:rsidRPr="00A23776">
        <w:rPr>
          <w:sz w:val="24"/>
          <w:szCs w:val="24"/>
          <w:lang w:val="ru-RU"/>
        </w:rPr>
        <w:t xml:space="preserve">ило </w:t>
      </w:r>
      <w:r w:rsidRPr="00646F37">
        <w:rPr>
          <w:sz w:val="24"/>
          <w:szCs w:val="24"/>
          <w:lang w:val="ru-RU"/>
        </w:rPr>
        <w:t>подтвердить существенное влияние оползневой компоненты на условия генерации цунами и продемонстрировать связь условий осадконакопления в океане с цунамигенностью очагов подводных землетрясений. Его результаты показывают, что данный фактор является чрезвычайно существенным и в какой-то мере присутствует при возникновении большинства</w:t>
      </w:r>
      <w:r w:rsidR="00997AB2">
        <w:rPr>
          <w:sz w:val="24"/>
          <w:szCs w:val="24"/>
          <w:lang w:val="ru-RU"/>
        </w:rPr>
        <w:t>,</w:t>
      </w:r>
      <w:r w:rsidRPr="00646F37">
        <w:rPr>
          <w:sz w:val="24"/>
          <w:szCs w:val="24"/>
          <w:lang w:val="ru-RU"/>
        </w:rPr>
        <w:t xml:space="preserve"> если не всех</w:t>
      </w:r>
      <w:r w:rsidR="00997AB2">
        <w:rPr>
          <w:sz w:val="24"/>
          <w:szCs w:val="24"/>
          <w:lang w:val="ru-RU"/>
        </w:rPr>
        <w:t>,</w:t>
      </w:r>
      <w:r w:rsidRPr="00646F37">
        <w:rPr>
          <w:sz w:val="24"/>
          <w:szCs w:val="24"/>
          <w:lang w:val="ru-RU"/>
        </w:rPr>
        <w:t xml:space="preserve"> разрушительных цунами.</w:t>
      </w:r>
    </w:p>
    <w:bookmarkEnd w:id="0"/>
    <w:p w:rsidR="0088530C" w:rsidRPr="0088530C" w:rsidRDefault="0088530C" w:rsidP="0088530C">
      <w:pPr>
        <w:rPr>
          <w:lang w:val="ru-RU"/>
        </w:rPr>
      </w:pPr>
    </w:p>
    <w:p w:rsidR="0088530C" w:rsidRPr="0088530C" w:rsidRDefault="00D87707" w:rsidP="00D87707">
      <w:pPr>
        <w:jc w:val="center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55pt;height:245.15pt">
            <v:imagedata r:id="rId4" o:title="RGB events"/>
          </v:shape>
        </w:pict>
      </w:r>
    </w:p>
    <w:p w:rsidR="0088530C" w:rsidRDefault="0088530C" w:rsidP="0088530C">
      <w:pPr>
        <w:rPr>
          <w:lang w:val="ru-RU"/>
        </w:rPr>
      </w:pPr>
    </w:p>
    <w:p w:rsidR="0088530C" w:rsidRPr="00C82268" w:rsidRDefault="0088530C" w:rsidP="00C82268">
      <w:pPr>
        <w:tabs>
          <w:tab w:val="left" w:pos="720"/>
          <w:tab w:val="left" w:pos="851"/>
          <w:tab w:val="left" w:pos="4395"/>
        </w:tabs>
        <w:spacing w:after="120"/>
        <w:jc w:val="both"/>
        <w:rPr>
          <w:sz w:val="22"/>
          <w:szCs w:val="22"/>
          <w:lang w:val="ru-RU"/>
        </w:rPr>
      </w:pPr>
      <w:r w:rsidRPr="00C82268">
        <w:rPr>
          <w:sz w:val="22"/>
          <w:szCs w:val="22"/>
          <w:lang w:val="ru-RU"/>
        </w:rPr>
        <w:t>Рис.1. Основные зоны литогенеза в океан</w:t>
      </w:r>
      <w:r w:rsidR="00C82268" w:rsidRPr="00C82268">
        <w:rPr>
          <w:sz w:val="22"/>
          <w:szCs w:val="22"/>
          <w:lang w:val="ru-RU"/>
        </w:rPr>
        <w:t>е</w:t>
      </w:r>
      <w:r w:rsidRPr="00C82268">
        <w:rPr>
          <w:sz w:val="22"/>
          <w:szCs w:val="22"/>
          <w:lang w:val="ru-RU"/>
        </w:rPr>
        <w:t xml:space="preserve"> (</w:t>
      </w:r>
      <w:r w:rsidR="00C82268" w:rsidRPr="00C82268">
        <w:rPr>
          <w:sz w:val="22"/>
          <w:szCs w:val="22"/>
          <w:lang w:val="ru-RU"/>
        </w:rPr>
        <w:t xml:space="preserve">1 - </w:t>
      </w:r>
      <w:r w:rsidRPr="00C82268">
        <w:rPr>
          <w:sz w:val="22"/>
          <w:szCs w:val="22"/>
          <w:lang w:val="ru-RU"/>
        </w:rPr>
        <w:t xml:space="preserve">экваториальная гумидная зона, </w:t>
      </w:r>
      <w:r w:rsidR="00C82268" w:rsidRPr="00C82268">
        <w:rPr>
          <w:sz w:val="22"/>
          <w:szCs w:val="22"/>
          <w:lang w:val="ru-RU"/>
        </w:rPr>
        <w:t xml:space="preserve">1 - </w:t>
      </w:r>
      <w:r w:rsidRPr="00C82268">
        <w:rPr>
          <w:sz w:val="22"/>
          <w:szCs w:val="22"/>
          <w:lang w:val="ru-RU"/>
        </w:rPr>
        <w:t xml:space="preserve">северная и южная гумидные зоны, </w:t>
      </w:r>
      <w:r w:rsidR="00C82268" w:rsidRPr="00C82268">
        <w:rPr>
          <w:sz w:val="22"/>
          <w:szCs w:val="22"/>
          <w:lang w:val="ru-RU"/>
        </w:rPr>
        <w:t xml:space="preserve">3 - </w:t>
      </w:r>
      <w:r w:rsidRPr="00C82268">
        <w:rPr>
          <w:sz w:val="22"/>
          <w:szCs w:val="22"/>
          <w:lang w:val="ru-RU"/>
        </w:rPr>
        <w:t>зон</w:t>
      </w:r>
      <w:r w:rsidR="00C82268" w:rsidRPr="00C82268">
        <w:rPr>
          <w:sz w:val="22"/>
          <w:szCs w:val="22"/>
          <w:lang w:val="ru-RU"/>
        </w:rPr>
        <w:t>а</w:t>
      </w:r>
      <w:r w:rsidRPr="00C82268">
        <w:rPr>
          <w:sz w:val="22"/>
          <w:szCs w:val="22"/>
          <w:lang w:val="ru-RU"/>
        </w:rPr>
        <w:t xml:space="preserve"> эффузивно-осадочного литогенеза, </w:t>
      </w:r>
      <w:r w:rsidR="00C82268" w:rsidRPr="00C82268">
        <w:rPr>
          <w:sz w:val="22"/>
          <w:szCs w:val="22"/>
          <w:lang w:val="ru-RU"/>
        </w:rPr>
        <w:t xml:space="preserve">4 - </w:t>
      </w:r>
      <w:r w:rsidRPr="00C82268">
        <w:rPr>
          <w:sz w:val="22"/>
          <w:szCs w:val="22"/>
          <w:lang w:val="ru-RU"/>
        </w:rPr>
        <w:t>северная и южные аридные зоны (4))  и положение очагов "красных" (5), "зеленых" (6) и "синих" (7) цунамигенных землетрясений.</w:t>
      </w:r>
    </w:p>
    <w:sectPr w:rsidR="0088530C" w:rsidRPr="00C82268" w:rsidSect="00AD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154"/>
    <w:rsid w:val="001F1A3A"/>
    <w:rsid w:val="00310F8F"/>
    <w:rsid w:val="00431154"/>
    <w:rsid w:val="0088530C"/>
    <w:rsid w:val="00997AB2"/>
    <w:rsid w:val="00A23776"/>
    <w:rsid w:val="00AD2A25"/>
    <w:rsid w:val="00C40D01"/>
    <w:rsid w:val="00C82268"/>
    <w:rsid w:val="00D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E7D9B1-AA52-419C-ABCF-BCE9ABAA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54"/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23776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A23776"/>
    <w:rPr>
      <w:rFonts w:ascii="Courier New" w:eastAsia="Times New Roman" w:hAnsi="Courier New"/>
      <w:lang w:val="en-US" w:eastAsia="en-US"/>
    </w:rPr>
  </w:style>
  <w:style w:type="character" w:styleId="a5">
    <w:name w:val="Hyperlink"/>
    <w:uiPriority w:val="99"/>
    <w:unhideWhenUsed/>
    <w:rsid w:val="00A23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Gusiakov</dc:creator>
  <cp:keywords/>
  <cp:lastModifiedBy>mikh</cp:lastModifiedBy>
  <cp:revision>2</cp:revision>
  <dcterms:created xsi:type="dcterms:W3CDTF">2017-11-09T09:21:00Z</dcterms:created>
  <dcterms:modified xsi:type="dcterms:W3CDTF">2017-11-09T09:21:00Z</dcterms:modified>
</cp:coreProperties>
</file>